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20A0" w14:textId="77777777"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6EE67B14" w14:textId="77777777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1B0CB045" w14:textId="77777777"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50D3003C" w14:textId="64E6FF07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1E45D2">
        <w:rPr>
          <w:rFonts w:ascii="Times New Roman" w:eastAsia="Times New Roman" w:hAnsi="Times New Roman" w:cs="Times New Roman"/>
          <w:lang w:val="uk-UA"/>
        </w:rPr>
        <w:t>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1E45D2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D127B5">
        <w:rPr>
          <w:rFonts w:ascii="Times New Roman" w:eastAsia="Times New Roman" w:hAnsi="Times New Roman" w:cs="Times New Roman"/>
          <w:lang w:val="uk-UA"/>
        </w:rPr>
        <w:t>2</w:t>
      </w:r>
      <w:r w:rsidR="00916815">
        <w:rPr>
          <w:rFonts w:ascii="Times New Roman" w:eastAsia="Times New Roman" w:hAnsi="Times New Roman" w:cs="Times New Roman"/>
          <w:lang w:val="uk-UA"/>
        </w:rPr>
        <w:t>2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49BCEE57" w14:textId="77777777"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701052B3" w14:textId="77777777"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3D4187BA" w14:textId="77777777"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1600B73A" w14:textId="77777777" w:rsidR="00BA7B9D" w:rsidRPr="0090211B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</w:t>
      </w:r>
      <w:r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2289D" w:rsidRPr="00106C2F">
        <w:rPr>
          <w:rFonts w:ascii="Times New Roman" w:eastAsia="Times New Roman" w:hAnsi="Times New Roman" w:cs="Times New Roman"/>
          <w:b/>
          <w:lang w:val="uk-UA"/>
        </w:rPr>
        <w:t>7</w:t>
      </w:r>
      <w:r>
        <w:rPr>
          <w:rFonts w:ascii="Times New Roman" w:eastAsia="Times New Roman" w:hAnsi="Times New Roman" w:cs="Times New Roman"/>
          <w:b/>
          <w:lang w:val="uk-UA"/>
        </w:rPr>
        <w:t>А</w:t>
      </w:r>
      <w:r w:rsidR="00411521">
        <w:rPr>
          <w:rFonts w:ascii="Times New Roman" w:eastAsia="Times New Roman" w:hAnsi="Times New Roman" w:cs="Times New Roman"/>
          <w:b/>
          <w:lang w:val="uk-UA"/>
        </w:rPr>
        <w:t>/Б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»                                          </w:t>
      </w:r>
    </w:p>
    <w:p w14:paraId="3481D894" w14:textId="77777777" w:rsidR="00106A6C" w:rsidRPr="0090211B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745E7B8E" w14:textId="77777777" w:rsidR="00BA7B9D" w:rsidRPr="0090211B" w:rsidRDefault="00BA7B9D" w:rsidP="00F71FE6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D127B5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</w:t>
      </w:r>
      <w:r w:rsidRPr="0090211B">
        <w:rPr>
          <w:rFonts w:ascii="Times New Roman" w:eastAsia="Times New Roman" w:hAnsi="Times New Roman" w:cs="Times New Roman"/>
          <w:lang w:val="uk-UA"/>
        </w:rPr>
        <w:t xml:space="preserve"> </w:t>
      </w:r>
      <w:r w:rsidRPr="0090211B">
        <w:rPr>
          <w:rFonts w:ascii="Times New Roman" w:hAnsi="Times New Roman" w:cs="Times New Roman"/>
          <w:lang w:val="uk-UA"/>
        </w:rPr>
        <w:t>(далі - Споживач)</w:t>
      </w:r>
    </w:p>
    <w:p w14:paraId="67B6F5F6" w14:textId="77777777" w:rsidR="00BA7B9D" w:rsidRPr="0090211B" w:rsidRDefault="00BA7B9D" w:rsidP="00F71FE6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06C2F">
        <w:rPr>
          <w:rFonts w:ascii="Times New Roman" w:hAnsi="Times New Roman" w:cs="Times New Roman"/>
          <w:lang w:val="uk-UA"/>
        </w:rPr>
        <w:t>ТОВАРИСТВО З ОБМЕЖЕНОЮ ВІДПОВІДАЛЬНІСТЮ «</w:t>
      </w:r>
      <w:r w:rsidR="00106C2F" w:rsidRPr="00106C2F">
        <w:rPr>
          <w:rFonts w:ascii="Times New Roman" w:hAnsi="Times New Roman" w:cs="Times New Roman"/>
          <w:lang w:val="uk-UA"/>
        </w:rPr>
        <w:t>ВОЛИНЬГАЗ ЗБУТ</w:t>
      </w:r>
      <w:r w:rsidRPr="00106C2F">
        <w:rPr>
          <w:rFonts w:ascii="Times New Roman" w:hAnsi="Times New Roman" w:cs="Times New Roman"/>
          <w:lang w:val="uk-UA"/>
        </w:rPr>
        <w:t>»,</w:t>
      </w:r>
      <w:r w:rsidRPr="0090211B">
        <w:rPr>
          <w:rFonts w:ascii="Times New Roman" w:hAnsi="Times New Roman" w:cs="Times New Roman"/>
          <w:lang w:val="uk-UA"/>
        </w:rPr>
        <w:t xml:space="preserve"> (далі - Постачальник), </w:t>
      </w:r>
      <w:r w:rsidR="00A2289D">
        <w:rPr>
          <w:rFonts w:ascii="Times New Roman" w:hAnsi="Times New Roman" w:cs="Times New Roman"/>
          <w:lang w:val="uk-UA"/>
        </w:rPr>
        <w:t xml:space="preserve">що </w:t>
      </w:r>
      <w:r w:rsidRPr="0090211B">
        <w:rPr>
          <w:rFonts w:ascii="Times New Roman" w:hAnsi="Times New Roman" w:cs="Times New Roman"/>
          <w:lang w:val="uk-UA"/>
        </w:rPr>
        <w:t>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№</w:t>
      </w:r>
      <w:r w:rsidR="00106C2F" w:rsidRPr="00106C2F">
        <w:rPr>
          <w:rFonts w:ascii="Times New Roman" w:hAnsi="Times New Roman" w:cs="Times New Roman"/>
          <w:lang w:val="uk-UA"/>
        </w:rPr>
        <w:t>1248 від 30.06.2020</w:t>
      </w:r>
      <w:r w:rsidRPr="00106C2F">
        <w:rPr>
          <w:rFonts w:ascii="Times New Roman" w:hAnsi="Times New Roman" w:cs="Times New Roman"/>
          <w:lang w:val="uk-UA"/>
        </w:rPr>
        <w:t>р.),</w:t>
      </w:r>
      <w:r w:rsidRPr="0090211B">
        <w:rPr>
          <w:rFonts w:ascii="Times New Roman" w:hAnsi="Times New Roman" w:cs="Times New Roman"/>
          <w:lang w:val="uk-UA"/>
        </w:rPr>
        <w:t xml:space="preserve"> встановлює наступні умови даної комерційної пропозиції. </w:t>
      </w:r>
    </w:p>
    <w:p w14:paraId="7106D679" w14:textId="77777777" w:rsidR="00BA7B9D" w:rsidRPr="0090211B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90211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90211B">
        <w:rPr>
          <w:rFonts w:ascii="Times New Roman" w:eastAsia="Times New Roman" w:hAnsi="Times New Roman" w:cs="Times New Roman"/>
          <w:lang w:val="uk-UA"/>
        </w:rPr>
        <w:t>.</w:t>
      </w:r>
    </w:p>
    <w:p w14:paraId="2E5EE6AE" w14:textId="77777777" w:rsidR="00BA7B9D" w:rsidRPr="0090211B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>Територія діяльності</w:t>
      </w:r>
      <w:r w:rsidRPr="00106C2F">
        <w:rPr>
          <w:rFonts w:ascii="Times New Roman" w:eastAsia="Times New Roman" w:hAnsi="Times New Roman" w:cs="Times New Roman"/>
          <w:lang w:val="uk-UA"/>
        </w:rPr>
        <w:t>: ТОВ «</w:t>
      </w:r>
      <w:r w:rsidR="00106C2F" w:rsidRPr="00106C2F">
        <w:rPr>
          <w:rFonts w:ascii="Times New Roman" w:eastAsia="Times New Roman" w:hAnsi="Times New Roman" w:cs="Times New Roman"/>
          <w:lang w:val="uk-UA"/>
        </w:rPr>
        <w:t>ВОЛИНЬГАЗ ЗБУТ</w:t>
      </w:r>
      <w:r w:rsidRPr="00106C2F">
        <w:rPr>
          <w:rFonts w:ascii="Times New Roman" w:eastAsia="Times New Roman" w:hAnsi="Times New Roman" w:cs="Times New Roman"/>
          <w:lang w:val="uk-UA"/>
        </w:rPr>
        <w:t>»</w:t>
      </w:r>
      <w:r w:rsidRPr="0090211B">
        <w:rPr>
          <w:rFonts w:ascii="Times New Roman" w:eastAsia="Times New Roman" w:hAnsi="Times New Roman" w:cs="Times New Roman"/>
          <w:lang w:val="uk-UA"/>
        </w:rPr>
        <w:t xml:space="preserve"> здійснює діяльність з постачання електричної енергії на території України </w:t>
      </w:r>
      <w:r w:rsidR="00A2289D">
        <w:rPr>
          <w:rFonts w:ascii="Times New Roman" w:eastAsia="Times New Roman" w:hAnsi="Times New Roman" w:cs="Times New Roman"/>
          <w:lang w:val="uk-UA"/>
        </w:rPr>
        <w:t>згідно</w:t>
      </w:r>
      <w:r w:rsidRPr="0090211B">
        <w:rPr>
          <w:rFonts w:ascii="Times New Roman" w:eastAsia="Times New Roman" w:hAnsi="Times New Roman" w:cs="Times New Roman"/>
          <w:lang w:val="uk-UA"/>
        </w:rPr>
        <w:t xml:space="preserve">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09C46B78" w14:textId="77777777" w:rsidR="004B50CF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4F5B8E4B" w14:textId="0D420388" w:rsidR="00BA7B9D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Термін дії цієї публічної комерційної пропозиції: початок - </w:t>
      </w:r>
      <w:r w:rsidRPr="00100643">
        <w:rPr>
          <w:rFonts w:ascii="Times New Roman" w:eastAsia="Times New Roman" w:hAnsi="Times New Roman" w:cs="Times New Roman"/>
          <w:b/>
          <w:lang w:val="uk-UA"/>
        </w:rPr>
        <w:t>_____________</w:t>
      </w:r>
      <w:r w:rsidR="00100643">
        <w:rPr>
          <w:rFonts w:ascii="Times New Roman" w:eastAsia="Times New Roman" w:hAnsi="Times New Roman" w:cs="Times New Roman"/>
          <w:b/>
          <w:lang w:val="uk-UA"/>
        </w:rPr>
        <w:t xml:space="preserve"> 202</w:t>
      </w:r>
      <w:r w:rsidR="00916815">
        <w:rPr>
          <w:rFonts w:ascii="Times New Roman" w:eastAsia="Times New Roman" w:hAnsi="Times New Roman" w:cs="Times New Roman"/>
          <w:b/>
          <w:lang w:val="uk-UA"/>
        </w:rPr>
        <w:t>2</w:t>
      </w:r>
      <w:r w:rsidR="0010064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р.; кінець – </w:t>
      </w:r>
      <w:r w:rsidRPr="00100643">
        <w:rPr>
          <w:rFonts w:ascii="Times New Roman" w:eastAsia="Times New Roman" w:hAnsi="Times New Roman" w:cs="Times New Roman"/>
          <w:b/>
          <w:lang w:val="uk-UA"/>
        </w:rPr>
        <w:t>31.</w:t>
      </w:r>
      <w:r w:rsidR="008B5265" w:rsidRPr="00100643">
        <w:rPr>
          <w:rFonts w:ascii="Times New Roman" w:eastAsia="Times New Roman" w:hAnsi="Times New Roman" w:cs="Times New Roman"/>
          <w:b/>
          <w:lang w:val="uk-UA"/>
        </w:rPr>
        <w:t>12</w:t>
      </w:r>
      <w:r w:rsidR="00105AA1">
        <w:rPr>
          <w:rFonts w:ascii="Times New Roman" w:eastAsia="Times New Roman" w:hAnsi="Times New Roman" w:cs="Times New Roman"/>
          <w:b/>
          <w:lang w:val="uk-UA"/>
        </w:rPr>
        <w:t>.202</w:t>
      </w:r>
      <w:r w:rsidR="00916815">
        <w:rPr>
          <w:rFonts w:ascii="Times New Roman" w:eastAsia="Times New Roman" w:hAnsi="Times New Roman" w:cs="Times New Roman"/>
          <w:b/>
          <w:lang w:val="uk-UA"/>
        </w:rPr>
        <w:t>2</w:t>
      </w:r>
      <w:r w:rsidR="0010064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00643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90211B" w14:paraId="64B0028F" w14:textId="77777777" w:rsidTr="0058024E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066EB9D4" w14:textId="77777777" w:rsidR="009003EB" w:rsidRPr="0090211B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0211B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0DBA0AD" w14:textId="77777777" w:rsidR="009003EB" w:rsidRPr="0090211B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0211B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556C9C" w14:paraId="415BF308" w14:textId="77777777" w:rsidTr="0058024E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F5F0F80" w14:textId="77777777" w:rsidR="0058024E" w:rsidRPr="0058024E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Вартість</w:t>
            </w:r>
            <w:r w:rsidRPr="0090211B">
              <w:rPr>
                <w:rStyle w:val="ae"/>
                <w:sz w:val="22"/>
                <w:szCs w:val="22"/>
                <w:lang w:val="uk-UA"/>
              </w:rPr>
              <w:t xml:space="preserve">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CE27C64" w14:textId="77777777" w:rsidR="0058024E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Для Споживача по площадці (-ках) вимірювання, віднесеній у встановленому порядку до </w:t>
            </w:r>
            <w:r w:rsidRPr="00411521">
              <w:rPr>
                <w:rFonts w:ascii="Times New Roman" w:eastAsia="Times New Roman" w:hAnsi="Times New Roman" w:cs="Times New Roman"/>
                <w:u w:val="single"/>
                <w:lang w:val="uk-UA"/>
              </w:rPr>
              <w:t>групи «А»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, вартість за розрахунковий період (місяць) (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="00411521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А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58024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7CAC877" w14:textId="77777777"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97969A6" w14:textId="77777777"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41152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71D6FF23" w14:textId="77777777"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006C8E4" w14:textId="77777777" w:rsidR="0058024E" w:rsidRPr="00F62B4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F62B4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62B4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62B4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7F55B14F" w14:textId="77777777"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158025C7" w14:textId="77777777"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036035B" w14:textId="77777777"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632B9F82" w14:textId="77777777"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B933C55" w14:textId="77777777"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7A7E5740" w14:textId="77777777" w:rsidR="00BA20C1" w:rsidRPr="00F62B4F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5BE6324D" w14:textId="77777777"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205E7" w:rsidRPr="00F62B4F">
              <w:rPr>
                <w:rFonts w:ascii="Times New Roman" w:hAnsi="Times New Roman" w:cs="Times New Roman"/>
                <w:b/>
                <w:lang w:val="uk-UA"/>
              </w:rPr>
              <w:t>,1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29249E26" w14:textId="77777777"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CD3DA0A" w14:textId="77777777"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6660A159" w14:textId="77777777" w:rsidR="00BA20C1" w:rsidRPr="00F62B4F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241ACCF1" w14:textId="77777777"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5561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33350BD3" w14:textId="77777777"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5136211" w14:textId="77777777" w:rsidR="0058024E" w:rsidRPr="00846820" w:rsidRDefault="0058024E" w:rsidP="0058024E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23A5D36F" w14:textId="77777777" w:rsidR="0058024E" w:rsidRPr="00846820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2BAD1813" w14:textId="77777777"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A816712" w14:textId="77777777" w:rsidR="0058024E" w:rsidRPr="0058024E" w:rsidRDefault="0058024E" w:rsidP="00E401B6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90211B" w14:paraId="73280ACD" w14:textId="77777777" w:rsidTr="001C126B">
        <w:trPr>
          <w:cantSplit/>
          <w:trHeight w:hRule="exact" w:val="837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F875D68" w14:textId="77777777" w:rsidR="0058024E" w:rsidRPr="0058024E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07176761" w14:textId="77777777" w:rsidR="0058024E" w:rsidRPr="00846820" w:rsidRDefault="0058024E" w:rsidP="0058024E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846820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846820">
              <w:rPr>
                <w:rStyle w:val="10"/>
                <w:color w:val="000000"/>
                <w:sz w:val="22"/>
                <w:szCs w:val="22"/>
                <w:lang w:val="uk-UA"/>
              </w:rPr>
              <w:tab/>
              <w:t>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846820">
              <w:rPr>
                <w:sz w:val="22"/>
                <w:szCs w:val="22"/>
                <w:lang w:val="uk-UA"/>
              </w:rPr>
              <w:t>що фактично склалася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846820">
              <w:rPr>
                <w:sz w:val="22"/>
                <w:szCs w:val="22"/>
                <w:lang w:val="uk-UA"/>
              </w:rPr>
              <w:t xml:space="preserve">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846820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846820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27E5ACD0" w14:textId="0FA99385" w:rsidR="0058024E" w:rsidRPr="00846820" w:rsidRDefault="00393CD5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393CD5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393CD5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393CD5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="00916815" w:rsidRPr="00916815">
              <w:rPr>
                <w:sz w:val="22"/>
                <w:szCs w:val="22"/>
                <w:lang w:val="uk-UA"/>
              </w:rPr>
              <w:t>п</w:t>
            </w:r>
            <w:r w:rsidR="00916815" w:rsidRPr="00916815">
              <w:rPr>
                <w:sz w:val="22"/>
                <w:szCs w:val="22"/>
              </w:rPr>
              <w:t>ослуги Постачальника електроенергії (маржа)</w:t>
            </w:r>
            <w:r w:rsidR="00916815">
              <w:t> 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 xml:space="preserve"> для 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площад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ок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 xml:space="preserve"> (-ках) вимірювання, віднесен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их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 xml:space="preserve"> до групи «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А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»</w:t>
            </w:r>
            <w:r w:rsidR="008F2FA8"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,</w:t>
            </w:r>
            <w:r w:rsidRPr="00393CD5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що складає </w:t>
            </w:r>
            <w:r w:rsidRPr="001C126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_____</w:t>
            </w:r>
            <w:r w:rsidRPr="00393CD5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393CD5">
              <w:rPr>
                <w:rStyle w:val="1"/>
                <w:color w:val="000000"/>
                <w:sz w:val="22"/>
                <w:szCs w:val="22"/>
                <w:lang w:val="uk-UA"/>
              </w:rPr>
              <w:t>грн/МВт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*год</w:t>
            </w:r>
            <w:r w:rsidRPr="00101C3D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  <w:r w:rsidR="0058024E" w:rsidRPr="00101C3D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  <w:p w14:paraId="3123605C" w14:textId="77777777" w:rsidR="0058024E" w:rsidRPr="00846820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="008F2FA8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А</w:t>
            </w:r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</w:t>
            </w:r>
            <w:r w:rsidR="008F2FA8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</w:t>
            </w:r>
            <w:r w:rsidR="008F2FA8">
              <w:rPr>
                <w:rFonts w:eastAsia="Times New Roman"/>
                <w:sz w:val="22"/>
                <w:szCs w:val="22"/>
                <w:lang w:val="uk-UA"/>
              </w:rPr>
              <w:t>А</w:t>
            </w:r>
            <w:r w:rsidR="008F2FA8" w:rsidRPr="00411521">
              <w:rPr>
                <w:rFonts w:eastAsia="Times New Roman"/>
                <w:sz w:val="22"/>
                <w:szCs w:val="22"/>
                <w:lang w:val="uk-UA"/>
              </w:rPr>
              <w:t>»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35347720" w14:textId="77777777" w:rsidR="00411521" w:rsidRDefault="0058024E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846820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Регулятором,</w:t>
            </w:r>
            <w:r w:rsidRPr="00846820">
              <w:rPr>
                <w:sz w:val="22"/>
                <w:szCs w:val="22"/>
                <w:lang w:val="uk-UA"/>
              </w:rPr>
              <w:t xml:space="preserve"> грн/МВт*год.</w:t>
            </w:r>
            <w:r w:rsidRPr="0058024E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14:paraId="38CAC7F7" w14:textId="77777777" w:rsidR="00411521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56661131" w14:textId="77777777" w:rsidR="00411521" w:rsidRPr="008F2FA8" w:rsidRDefault="008F2FA8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8F2FA8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 xml:space="preserve">ля Споживача по площадці (-ках) вимірювання, віднесеній до </w:t>
            </w:r>
            <w:r w:rsidR="00411521" w:rsidRPr="008F2FA8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8F2FA8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14:paraId="24AE6310" w14:textId="77777777" w:rsidR="00411521" w:rsidRPr="0090211B" w:rsidRDefault="00411521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Б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Pr="00220C5E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11B239E" w14:textId="77777777" w:rsidR="00411521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14:paraId="19325731" w14:textId="77777777"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9021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вартість спожитого місячного обсягу електричної енергії у розрахунковому місяці постачання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3B47B0C4" w14:textId="77777777"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220C5E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220C5E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220C5E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за місяць постачання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Pr="00411521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4855315C" w14:textId="77777777" w:rsidR="00411521" w:rsidRPr="00220C5E" w:rsidRDefault="00411521" w:rsidP="00411521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7536E51" w14:textId="78EA71D4" w:rsidR="00411521" w:rsidRPr="00220C5E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220C5E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220C5E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="00916815" w:rsidRPr="00916815">
              <w:rPr>
                <w:sz w:val="22"/>
                <w:szCs w:val="22"/>
                <w:lang w:val="uk-UA"/>
              </w:rPr>
              <w:t>п</w:t>
            </w:r>
            <w:r w:rsidR="00916815" w:rsidRPr="00916815">
              <w:rPr>
                <w:sz w:val="22"/>
                <w:szCs w:val="22"/>
              </w:rPr>
              <w:t>ослуги Постачальника електроенергії (маржа)</w:t>
            </w:r>
            <w:r w:rsidR="00916815">
              <w:t> </w:t>
            </w:r>
            <w:r w:rsidR="009168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1C126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«Б»</w:t>
            </w:r>
            <w:r w:rsidRPr="001C126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1C126B">
              <w:rPr>
                <w:rStyle w:val="1"/>
                <w:color w:val="000000"/>
                <w:sz w:val="22"/>
                <w:szCs w:val="22"/>
                <w:lang w:val="uk-UA"/>
              </w:rPr>
              <w:t>грн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/МВт*год</w:t>
            </w:r>
            <w:r w:rsidRPr="00220C5E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</w:p>
          <w:p w14:paraId="26BBCF60" w14:textId="77777777" w:rsidR="00411521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0E0F6753" w14:textId="77777777" w:rsidR="00411521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7FFB9FA2" w14:textId="77777777" w:rsidR="00411521" w:rsidRPr="0058024E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0A1D92" w14:paraId="5E9EC9A9" w14:textId="77777777" w:rsidTr="0058024E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2334B8A" w14:textId="77777777" w:rsidR="000A1D92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4E5CAB7" w14:textId="77777777" w:rsidR="000A1D92" w:rsidRPr="000A1D92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0A1D92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4B50C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556C9C" w14:paraId="1E6B16D9" w14:textId="77777777" w:rsidTr="0058024E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CAB49EA" w14:textId="77777777" w:rsidR="009003EB" w:rsidRPr="0090211B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23F509B" w14:textId="77777777" w:rsidR="00F84295" w:rsidRPr="0090211B" w:rsidRDefault="00F84295" w:rsidP="00B54131">
            <w:pPr>
              <w:tabs>
                <w:tab w:val="left" w:pos="226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 сплачує</w:t>
            </w:r>
            <w:r w:rsidR="0090211B"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вартість послуги з розподілу електричної енергії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безпосередньо Оператору</w:t>
            </w:r>
            <w:r w:rsidR="001E45D2">
              <w:rPr>
                <w:rFonts w:ascii="Times New Roman" w:eastAsia="Times New Roman" w:hAnsi="Times New Roman" w:cs="Times New Roman"/>
                <w:lang w:val="uk-UA"/>
              </w:rPr>
              <w:t xml:space="preserve"> системи розподілу</w:t>
            </w:r>
            <w:r w:rsidR="00F62B4F">
              <w:rPr>
                <w:rFonts w:ascii="Times New Roman" w:eastAsia="Times New Roman" w:hAnsi="Times New Roman" w:cs="Times New Roman"/>
                <w:lang w:val="uk-UA"/>
              </w:rPr>
              <w:t xml:space="preserve"> згідно відповідного укладеного договору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7203FF6E" w14:textId="77777777" w:rsidR="009003EB" w:rsidRPr="0090211B" w:rsidRDefault="009003EB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67E7" w:rsidRPr="00556C9C" w14:paraId="19D54408" w14:textId="77777777" w:rsidTr="0058024E">
        <w:trPr>
          <w:cantSplit/>
          <w:trHeight w:hRule="exact" w:val="257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D584E4A" w14:textId="77777777" w:rsidR="002C67E7" w:rsidRPr="0090211B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Спосіб</w:t>
            </w:r>
            <w:r w:rsidR="002C67E7" w:rsidRPr="0090211B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FC01CFD" w14:textId="77777777" w:rsidR="00477B7B" w:rsidRDefault="00477B7B" w:rsidP="00477B7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оплату за електроенергію до початку розрахункового періоду,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 місяці  що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передує розрахунковому, попереднім платежем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B64A0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="006B64A0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B64A0" w:rsidRPr="006B64A0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00643">
              <w:rPr>
                <w:rFonts w:ascii="Times New Roman" w:eastAsia="Times New Roman" w:hAnsi="Times New Roman" w:cs="Times New Roman"/>
                <w:lang w:val="uk-UA"/>
              </w:rPr>
              <w:t>100%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загальної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вартості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заявленого в Повідомленні 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 xml:space="preserve">планованого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обсягу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споживання електричної енергії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B64A0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="006B64A0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2D612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90211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виходячи з </w:t>
            </w:r>
            <w:r w:rsidR="000A1D92">
              <w:rPr>
                <w:rFonts w:ascii="Times New Roman" w:eastAsia="Times New Roman" w:hAnsi="Times New Roman" w:cs="Times New Roman"/>
                <w:lang w:val="uk-UA"/>
              </w:rPr>
              <w:t xml:space="preserve">попередньої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ціни</w:t>
            </w:r>
            <w:r w:rsidR="00F62B4F">
              <w:rPr>
                <w:rFonts w:ascii="Times New Roman" w:eastAsia="Times New Roman" w:hAnsi="Times New Roman" w:cs="Times New Roman"/>
                <w:lang w:val="uk-UA"/>
              </w:rPr>
              <w:t xml:space="preserve"> і </w:t>
            </w:r>
            <w:r w:rsidR="00846820">
              <w:rPr>
                <w:rFonts w:ascii="Times New Roman" w:eastAsia="Times New Roman" w:hAnsi="Times New Roman" w:cs="Times New Roman"/>
                <w:lang w:val="uk-UA"/>
              </w:rPr>
              <w:t xml:space="preserve">попередньої </w:t>
            </w:r>
            <w:r w:rsidR="00F62B4F">
              <w:rPr>
                <w:rFonts w:ascii="Times New Roman" w:eastAsia="Times New Roman" w:hAnsi="Times New Roman" w:cs="Times New Roman"/>
                <w:lang w:val="uk-UA"/>
              </w:rPr>
              <w:t xml:space="preserve">маржі </w:t>
            </w:r>
            <w:r w:rsidR="00846820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F62B4F" w:rsidRPr="00846820"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 w:rsidR="00F62B4F" w:rsidRPr="00846820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F62B4F" w:rsidRPr="00846820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="00846820" w:rsidRPr="00846820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6249B1" w:rsidRPr="006249B1">
              <w:rPr>
                <w:rFonts w:ascii="Times New Roman" w:eastAsia="Times New Roman" w:hAnsi="Times New Roman" w:cs="Times New Roman"/>
                <w:vertAlign w:val="subscript"/>
                <w:lang w:val="uk-UA"/>
              </w:rPr>
              <w:t>(А або Б)</w:t>
            </w:r>
            <w:r w:rsidR="00846820" w:rsidRPr="00846820">
              <w:rPr>
                <w:rFonts w:ascii="Times New Roman" w:eastAsia="Times New Roman" w:hAnsi="Times New Roman" w:cs="Times New Roman"/>
                <w:lang w:val="uk-UA"/>
              </w:rPr>
              <w:t>×Ц</w:t>
            </w:r>
            <w:r w:rsidR="00846820" w:rsidRPr="00846820">
              <w:rPr>
                <w:rFonts w:ascii="Times New Roman" w:eastAsia="Times New Roman" w:hAnsi="Times New Roman" w:cs="Times New Roman"/>
                <w:vertAlign w:val="subscript"/>
                <w:lang w:val="uk-UA"/>
              </w:rPr>
              <w:t>п</w:t>
            </w:r>
            <w:r w:rsidR="00846820" w:rsidRPr="00846820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0A1D92">
              <w:rPr>
                <w:rFonts w:ascii="Times New Roman" w:eastAsia="Times New Roman" w:hAnsi="Times New Roman" w:cs="Times New Roman"/>
                <w:lang w:val="uk-UA"/>
              </w:rPr>
              <w:t xml:space="preserve"> т</w:t>
            </w:r>
            <w:r w:rsidR="0035287E">
              <w:rPr>
                <w:rFonts w:ascii="Times New Roman" w:eastAsia="Times New Roman" w:hAnsi="Times New Roman" w:cs="Times New Roman"/>
                <w:lang w:val="uk-UA"/>
              </w:rPr>
              <w:t xml:space="preserve">а </w:t>
            </w:r>
            <w:r w:rsidR="0035287E" w:rsidRPr="0090211B">
              <w:rPr>
                <w:rStyle w:val="1"/>
                <w:color w:val="000000"/>
                <w:sz w:val="22"/>
                <w:szCs w:val="22"/>
                <w:lang w:val="uk-UA"/>
              </w:rPr>
              <w:t>тариф</w:t>
            </w:r>
            <w:r w:rsidR="0035287E">
              <w:rPr>
                <w:rStyle w:val="1"/>
                <w:color w:val="000000"/>
                <w:sz w:val="22"/>
                <w:szCs w:val="22"/>
                <w:lang w:val="uk-UA"/>
              </w:rPr>
              <w:t>у</w:t>
            </w:r>
            <w:r w:rsidR="0035287E" w:rsidRPr="009021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послуги з передачі електричної енергії</w:t>
            </w:r>
            <w:r w:rsidR="006B64A0">
              <w:rPr>
                <w:rStyle w:val="1"/>
                <w:color w:val="000000"/>
                <w:sz w:val="22"/>
                <w:szCs w:val="22"/>
                <w:lang w:val="uk-UA"/>
              </w:rPr>
              <w:t>,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на підставі рахунку </w:t>
            </w:r>
            <w:r w:rsidR="002D612E"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Постачальника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на попередню оплату або самостійно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розрахованої</w:t>
            </w:r>
            <w:r w:rsidR="006863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 xml:space="preserve">за формулою 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×(</w:t>
            </w:r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+Т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D314E9">
              <w:rPr>
                <w:rFonts w:ascii="Times New Roman" w:eastAsia="Times New Roman" w:hAnsi="Times New Roman" w:cs="Times New Roman"/>
                <w:b/>
                <w:lang w:val="uk-UA"/>
              </w:rPr>
              <w:t>+М</w:t>
            </w:r>
            <w:r w:rsidR="00F62B4F"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14:paraId="5824E0EA" w14:textId="77777777" w:rsidR="002C67E7" w:rsidRPr="00846820" w:rsidRDefault="00477B7B" w:rsidP="00477B7B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фактичної закупівельної вартості електричної енергії, </w:t>
            </w:r>
            <w:r w:rsidR="00846820" w:rsidRPr="00846820">
              <w:rPr>
                <w:rFonts w:ascii="Times New Roman" w:eastAsia="Times New Roman" w:hAnsi="Times New Roman" w:cs="Times New Roman"/>
                <w:lang w:val="uk-UA"/>
              </w:rPr>
              <w:t>що фактично склалася на ринку «на добу наперед» у відповідну годину відповідної доби розрахункового періоду</w:t>
            </w:r>
            <w:r w:rsidR="0084682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90211B" w14:paraId="4CC22068" w14:textId="77777777" w:rsidTr="0058024E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59FA446" w14:textId="77777777"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86DE233" w14:textId="77777777" w:rsidR="00F84295" w:rsidRPr="009021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2A8BB763" w14:textId="77777777"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4D072A5B" w14:textId="77777777" w:rsidR="00F84295" w:rsidRPr="009021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26F0B349" w14:textId="77777777"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7B1AC345" w14:textId="77777777"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14:paraId="6363E937" w14:textId="77777777" w:rsidTr="0058024E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E6216D0" w14:textId="77777777" w:rsidR="002C67E7" w:rsidRPr="0090211B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90211B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4120C05" w14:textId="77777777" w:rsidR="002C67E7" w:rsidRPr="0090211B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90211B">
              <w:rPr>
                <w:sz w:val="22"/>
                <w:szCs w:val="22"/>
                <w:lang w:val="uk-UA"/>
              </w:rPr>
              <w:t>роводиться</w:t>
            </w:r>
            <w:r>
              <w:rPr>
                <w:sz w:val="22"/>
                <w:szCs w:val="22"/>
                <w:lang w:val="uk-UA"/>
              </w:rPr>
              <w:t xml:space="preserve"> в перший робочий </w:t>
            </w:r>
            <w:r w:rsidRPr="0090211B">
              <w:rPr>
                <w:sz w:val="22"/>
                <w:szCs w:val="22"/>
                <w:lang w:val="uk-UA"/>
              </w:rPr>
              <w:t>день місяця</w:t>
            </w:r>
            <w:r>
              <w:rPr>
                <w:sz w:val="22"/>
                <w:szCs w:val="22"/>
                <w:lang w:val="uk-UA"/>
              </w:rPr>
              <w:t>, що слідує за розрахунковим місяцем</w:t>
            </w:r>
          </w:p>
        </w:tc>
      </w:tr>
      <w:tr w:rsidR="002C67E7" w:rsidRPr="0090211B" w14:paraId="797ACD99" w14:textId="77777777" w:rsidTr="0058024E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AF6D52D" w14:textId="77777777"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2"/>
                <w:szCs w:val="12"/>
                <w:lang w:val="uk-UA"/>
              </w:rPr>
              <w:t>Т</w:t>
            </w:r>
            <w:r w:rsidRPr="0090211B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A5CCBEE" w14:textId="77777777" w:rsidR="00F84295" w:rsidRPr="009021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1508463A" w14:textId="77777777" w:rsidR="002C67E7" w:rsidRPr="0090211B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14:paraId="71C0DAAD" w14:textId="77777777" w:rsidTr="0058024E">
        <w:trPr>
          <w:cantSplit/>
          <w:trHeight w:hRule="exact" w:val="337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72E5F10" w14:textId="77777777" w:rsidR="002C67E7" w:rsidRPr="0090211B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901EC03" w14:textId="77777777" w:rsidR="00F84295" w:rsidRPr="009021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69C80B06" w14:textId="77777777" w:rsidR="00F84295" w:rsidRPr="0090211B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9021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3A5BE083" w14:textId="77777777"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14:paraId="1D0E52B9" w14:textId="77777777" w:rsidTr="005E588F">
        <w:trPr>
          <w:cantSplit/>
          <w:trHeight w:hRule="exact" w:val="156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E921DEE" w14:textId="77777777" w:rsidR="002C67E7" w:rsidRPr="0090211B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692E956" w14:textId="77777777" w:rsidR="002C67E7" w:rsidRPr="0090211B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7149DE" w:rsidRPr="0090211B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>
              <w:rPr>
                <w:sz w:val="22"/>
                <w:szCs w:val="22"/>
                <w:lang w:val="uk-UA"/>
              </w:rPr>
              <w:t>, компенсація</w:t>
            </w:r>
            <w:r w:rsidR="007149DE" w:rsidRPr="0090211B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90211B" w14:paraId="53485471" w14:textId="77777777" w:rsidTr="005E588F">
        <w:trPr>
          <w:cantSplit/>
          <w:trHeight w:hRule="exact" w:val="213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57E88C7" w14:textId="6A3312D0" w:rsidR="005E588F" w:rsidRPr="007A6209" w:rsidRDefault="005E588F" w:rsidP="005E58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62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Можливість постачання</w:t>
            </w:r>
          </w:p>
          <w:p w14:paraId="49884BD0" w14:textId="12522D29" w:rsidR="00F000EC" w:rsidRPr="0090211B" w:rsidRDefault="005E588F" w:rsidP="005E588F">
            <w:pPr>
              <w:pStyle w:val="12"/>
              <w:shd w:val="clear" w:color="auto" w:fill="auto"/>
              <w:spacing w:after="0" w:line="250" w:lineRule="exact"/>
              <w:ind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A6209">
              <w:rPr>
                <w:b/>
                <w:bCs/>
                <w:sz w:val="20"/>
                <w:szCs w:val="20"/>
                <w:lang w:val="en-US"/>
              </w:rPr>
              <w:t>захищеним споживачам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E38DE59" w14:textId="09D5B9E8" w:rsidR="005E588F" w:rsidRDefault="005E588F" w:rsidP="005E588F">
            <w:pPr>
              <w:pStyle w:val="12"/>
              <w:shd w:val="clear" w:color="auto" w:fill="auto"/>
              <w:spacing w:after="0"/>
              <w:ind w:right="132"/>
              <w:rPr>
                <w:sz w:val="22"/>
                <w:szCs w:val="22"/>
                <w:lang w:val="uk-UA"/>
              </w:rPr>
            </w:pPr>
            <w:r w:rsidRPr="00556C9C">
              <w:rPr>
                <w:color w:val="000000"/>
                <w:sz w:val="22"/>
                <w:szCs w:val="22"/>
              </w:rPr>
              <w:t>Так, з врахуванням особливостей визначених законодавством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CD144C8" w14:textId="4321D8A9" w:rsidR="005E588F" w:rsidRPr="0090211B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5E588F" w:rsidRPr="0090211B" w14:paraId="19C934F8" w14:textId="77777777" w:rsidTr="005E588F">
        <w:trPr>
          <w:cantSplit/>
          <w:trHeight w:hRule="exact" w:val="2255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14:paraId="0D43014A" w14:textId="022C0837" w:rsidR="005E588F" w:rsidRPr="005E588F" w:rsidRDefault="005E588F" w:rsidP="005E58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588F">
              <w:rPr>
                <w:rFonts w:ascii="Times New Roman" w:hAnsi="Times New Roman" w:cs="Times New Roman"/>
                <w:b/>
                <w:lang w:val="uk-UA"/>
              </w:rPr>
              <w:lastRenderedPageBreak/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E43CA2B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5E588F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31.12.2022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 терміну дії </w:t>
            </w:r>
          </w:p>
          <w:p w14:paraId="39AFC990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5E588F">
              <w:rPr>
                <w:sz w:val="22"/>
                <w:szCs w:val="22"/>
                <w:lang w:val="uk-UA"/>
              </w:rPr>
              <w:t>Договору жодною із Сторін не буде заявлено про припинення його дії, і так щоразу.</w:t>
            </w:r>
          </w:p>
          <w:p w14:paraId="27D4601F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  <w:p w14:paraId="197851B1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  <w:p w14:paraId="37E2B144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  <w:p w14:paraId="0EB75FDD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  <w:p w14:paraId="2BE552D0" w14:textId="77777777" w:rsidR="005E588F" w:rsidRPr="005E588F" w:rsidRDefault="005E588F" w:rsidP="005E588F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  <w:p w14:paraId="5E951EBE" w14:textId="77777777" w:rsidR="005E588F" w:rsidRPr="005E588F" w:rsidRDefault="005E588F" w:rsidP="005E588F">
            <w:pPr>
              <w:pStyle w:val="12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</w:p>
        </w:tc>
      </w:tr>
    </w:tbl>
    <w:p w14:paraId="18DC5E33" w14:textId="77777777" w:rsidR="009B3D22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59169AA0" w14:textId="77777777" w:rsidR="003C6E13" w:rsidRPr="00846820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84682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846820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846820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846820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5336CCA2" w14:textId="77777777"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846820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78553AE4" w14:textId="77777777"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78C12713" w14:textId="77777777" w:rsidR="003C6E13" w:rsidRPr="00846820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846820">
        <w:rPr>
          <w:rFonts w:ascii="Times New Roman" w:eastAsia="Times New Roman" w:hAnsi="Times New Roman" w:cs="Times New Roman"/>
          <w:lang w:val="uk-UA"/>
        </w:rPr>
        <w:t>спожива</w:t>
      </w:r>
      <w:r w:rsidR="00846820">
        <w:rPr>
          <w:rFonts w:ascii="Times New Roman" w:eastAsia="Times New Roman" w:hAnsi="Times New Roman" w:cs="Times New Roman"/>
          <w:lang w:val="uk-UA"/>
        </w:rPr>
        <w:t>ч</w:t>
      </w:r>
      <w:r w:rsidR="00CF392D" w:rsidRPr="00846820">
        <w:rPr>
          <w:rFonts w:ascii="Times New Roman" w:eastAsia="Times New Roman" w:hAnsi="Times New Roman" w:cs="Times New Roman"/>
          <w:lang w:val="uk-UA"/>
        </w:rPr>
        <w:t xml:space="preserve">у, </w:t>
      </w:r>
      <w:r w:rsidRPr="00846820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2504F39F" w14:textId="77777777"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4A02EE02" w14:textId="77777777"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846820">
        <w:rPr>
          <w:rFonts w:ascii="Times New Roman" w:eastAsia="Times New Roman" w:hAnsi="Times New Roman" w:cs="Times New Roman"/>
          <w:lang w:val="uk-UA"/>
        </w:rPr>
        <w:t>.</w:t>
      </w:r>
    </w:p>
    <w:p w14:paraId="6D7194FF" w14:textId="757089EF" w:rsidR="003C6E13" w:rsidRPr="00556C9C" w:rsidRDefault="003C6E13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Pr="00106C2F">
        <w:rPr>
          <w:rFonts w:ascii="Times New Roman" w:eastAsia="Times New Roman" w:hAnsi="Times New Roman" w:cs="Times New Roman"/>
          <w:lang w:val="uk-UA"/>
        </w:rPr>
        <w:t>ТОВ «</w:t>
      </w:r>
      <w:r w:rsidR="00106C2F" w:rsidRPr="00106C2F">
        <w:rPr>
          <w:rFonts w:ascii="Times New Roman" w:eastAsia="Times New Roman" w:hAnsi="Times New Roman" w:cs="Times New Roman"/>
          <w:lang w:val="uk-UA"/>
        </w:rPr>
        <w:t>ВОЛИНЬГАЗ ЗБУТ</w:t>
      </w:r>
      <w:r w:rsidRPr="00106C2F">
        <w:rPr>
          <w:rFonts w:ascii="Times New Roman" w:eastAsia="Times New Roman" w:hAnsi="Times New Roman" w:cs="Times New Roman"/>
          <w:lang w:val="uk-UA"/>
        </w:rPr>
        <w:t>» -</w:t>
      </w:r>
      <w:r w:rsidR="00F15A42" w:rsidRPr="00106C2F">
        <w:rPr>
          <w:rFonts w:ascii="Times New Roman" w:eastAsia="Times New Roman" w:hAnsi="Times New Roman" w:cs="Times New Roman"/>
          <w:lang w:val="uk-UA"/>
        </w:rPr>
        <w:t xml:space="preserve"> </w:t>
      </w:r>
      <w:r w:rsidR="00106C2F" w:rsidRPr="00106C2F">
        <w:rPr>
          <w:rStyle w:val="a5"/>
          <w:rFonts w:ascii="Times New Roman" w:hAnsi="Times New Roman" w:cs="Times New Roman"/>
          <w:color w:val="auto"/>
          <w:u w:val="none"/>
          <w:lang w:val="uk-UA"/>
        </w:rPr>
        <w:t xml:space="preserve"> </w:t>
      </w:r>
      <w:hyperlink r:id="rId8" w:history="1">
        <w:r w:rsidR="00556C9C" w:rsidRPr="006A22FA">
          <w:rPr>
            <w:rStyle w:val="a5"/>
            <w:rFonts w:ascii="Times New Roman" w:hAnsi="Times New Roman" w:cs="Times New Roman"/>
            <w:lang w:val="uk-UA"/>
          </w:rPr>
          <w:t>https://vlgaszbut.com.ua</w:t>
        </w:r>
      </w:hyperlink>
      <w:r w:rsidR="00556C9C" w:rsidRPr="00556C9C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3C6E13" w:rsidRPr="0090211B" w14:paraId="5E11380C" w14:textId="77777777" w:rsidTr="00027BEB">
        <w:tc>
          <w:tcPr>
            <w:tcW w:w="5937" w:type="dxa"/>
          </w:tcPr>
          <w:p w14:paraId="396DE569" w14:textId="77777777" w:rsidR="000C2D20" w:rsidRPr="0090211B" w:rsidRDefault="000C2D20" w:rsidP="00B17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06C0D7" w14:textId="77777777" w:rsidR="00FE1EC6" w:rsidRPr="00106C2F" w:rsidRDefault="00106C2F" w:rsidP="00FE1EC6">
            <w:pPr>
              <w:ind w:left="284" w:right="2149"/>
              <w:rPr>
                <w:rFonts w:ascii="Times New Roman" w:hAnsi="Times New Roman" w:cs="Times New Roman"/>
                <w:b/>
              </w:rPr>
            </w:pPr>
            <w:r w:rsidRPr="00106C2F">
              <w:rPr>
                <w:rFonts w:ascii="Times New Roman" w:hAnsi="Times New Roman" w:cs="Times New Roman"/>
                <w:b/>
              </w:rPr>
              <w:t>ТОВ «ВОЛИНЬГАЗ ЗБУТ</w:t>
            </w:r>
            <w:r w:rsidR="00FE1EC6" w:rsidRPr="00106C2F">
              <w:rPr>
                <w:rFonts w:ascii="Times New Roman" w:hAnsi="Times New Roman" w:cs="Times New Roman"/>
                <w:b/>
              </w:rPr>
              <w:t>»</w:t>
            </w:r>
          </w:p>
          <w:p w14:paraId="4620CDD3" w14:textId="77777777" w:rsidR="00FE1EC6" w:rsidRPr="008B5265" w:rsidRDefault="00106C2F" w:rsidP="00FE1EC6">
            <w:pPr>
              <w:ind w:left="284" w:right="2149"/>
              <w:rPr>
                <w:rFonts w:ascii="Times New Roman" w:hAnsi="Times New Roman" w:cs="Times New Roman"/>
                <w:highlight w:val="green"/>
              </w:rPr>
            </w:pPr>
            <w:r w:rsidRPr="00106C2F">
              <w:rPr>
                <w:rFonts w:ascii="Times New Roman" w:hAnsi="Times New Roman" w:cs="Times New Roman"/>
              </w:rPr>
              <w:t>ЕІС-код: 56X930000000030K</w:t>
            </w:r>
          </w:p>
          <w:p w14:paraId="7384E9B2" w14:textId="77777777" w:rsidR="00FE1EC6" w:rsidRPr="008B5265" w:rsidRDefault="00106C2F" w:rsidP="00FE1EC6">
            <w:pPr>
              <w:ind w:left="284" w:right="2149"/>
              <w:rPr>
                <w:rFonts w:ascii="Times New Roman" w:hAnsi="Times New Roman" w:cs="Times New Roman"/>
                <w:highlight w:val="green"/>
              </w:rPr>
            </w:pPr>
            <w:r w:rsidRPr="00106C2F">
              <w:rPr>
                <w:rFonts w:ascii="Times New Roman" w:hAnsi="Times New Roman" w:cs="Times New Roman"/>
              </w:rPr>
              <w:t>Адреса: 43000, м. Луцьк, проспект Молоді, буд.14А</w:t>
            </w:r>
          </w:p>
          <w:p w14:paraId="4D064DE5" w14:textId="77777777" w:rsidR="004B6B12" w:rsidRDefault="00FE1EC6" w:rsidP="00FE1EC6">
            <w:pPr>
              <w:ind w:left="284" w:right="2149"/>
              <w:rPr>
                <w:rFonts w:ascii="Times New Roman" w:hAnsi="Times New Roman" w:cs="Times New Roman"/>
              </w:rPr>
            </w:pPr>
            <w:r w:rsidRPr="004B6B12">
              <w:rPr>
                <w:rFonts w:ascii="Times New Roman" w:hAnsi="Times New Roman" w:cs="Times New Roman"/>
              </w:rPr>
              <w:t>Контактний телефон:</w:t>
            </w:r>
            <w:r w:rsidRPr="008B5265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14:paraId="05E72A54" w14:textId="77777777" w:rsidR="004B6B12" w:rsidRDefault="004B6B12" w:rsidP="00FE1EC6">
            <w:pPr>
              <w:ind w:left="284" w:right="2149"/>
              <w:rPr>
                <w:rFonts w:ascii="Times New Roman" w:hAnsi="Times New Roman" w:cs="Times New Roman"/>
              </w:rPr>
            </w:pPr>
            <w:r w:rsidRPr="004B6B12">
              <w:rPr>
                <w:rFonts w:ascii="Times New Roman" w:hAnsi="Times New Roman" w:cs="Times New Roman"/>
              </w:rPr>
              <w:t xml:space="preserve">(0332) 27-76-04 </w:t>
            </w:r>
          </w:p>
          <w:p w14:paraId="104F8DB8" w14:textId="3869C235" w:rsidR="00FE1EC6" w:rsidRDefault="004B6B12" w:rsidP="00FE1EC6">
            <w:pPr>
              <w:ind w:left="284" w:right="2149"/>
              <w:rPr>
                <w:rFonts w:ascii="Times New Roman" w:hAnsi="Times New Roman" w:cs="Times New Roman"/>
              </w:rPr>
            </w:pPr>
            <w:r w:rsidRPr="004B6B12">
              <w:rPr>
                <w:rFonts w:ascii="Times New Roman" w:hAnsi="Times New Roman" w:cs="Times New Roman"/>
              </w:rPr>
              <w:t xml:space="preserve">Електронна адреса: </w:t>
            </w:r>
            <w:hyperlink r:id="rId9" w:history="1">
              <w:r w:rsidR="00556C9C" w:rsidRPr="006A22FA">
                <w:rPr>
                  <w:rStyle w:val="a5"/>
                  <w:rFonts w:ascii="Times New Roman" w:hAnsi="Times New Roman" w:cs="Times New Roman"/>
                </w:rPr>
                <w:t>office@vlgaszbut.com.ua</w:t>
              </w:r>
            </w:hyperlink>
          </w:p>
          <w:p w14:paraId="2F7980CA" w14:textId="77777777" w:rsidR="00FE1EC6" w:rsidRPr="008B5265" w:rsidRDefault="00FE1EC6" w:rsidP="00FE1EC6">
            <w:pPr>
              <w:ind w:left="284" w:right="2149"/>
              <w:rPr>
                <w:rFonts w:ascii="Times New Roman" w:hAnsi="Times New Roman" w:cs="Times New Roman"/>
                <w:highlight w:val="green"/>
              </w:rPr>
            </w:pPr>
            <w:r w:rsidRPr="004B6B12">
              <w:rPr>
                <w:rFonts w:ascii="Times New Roman" w:hAnsi="Times New Roman" w:cs="Times New Roman"/>
              </w:rPr>
              <w:t xml:space="preserve">IBAN: </w:t>
            </w:r>
            <w:r w:rsidR="004B6B12" w:rsidRPr="004B6B12">
              <w:rPr>
                <w:rFonts w:ascii="Times New Roman" w:hAnsi="Times New Roman" w:cs="Times New Roman"/>
              </w:rPr>
              <w:t>UA253033980000026038304637745</w:t>
            </w:r>
            <w:r w:rsidRPr="008B5265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14:paraId="634E9C39" w14:textId="77777777" w:rsidR="00FE1EC6" w:rsidRPr="004B6B12" w:rsidRDefault="00FE1EC6" w:rsidP="00FE1EC6">
            <w:pPr>
              <w:ind w:left="284" w:right="2149"/>
              <w:rPr>
                <w:rFonts w:ascii="Times New Roman" w:hAnsi="Times New Roman" w:cs="Times New Roman"/>
              </w:rPr>
            </w:pPr>
            <w:r w:rsidRPr="004B6B12">
              <w:rPr>
                <w:rFonts w:ascii="Times New Roman" w:hAnsi="Times New Roman" w:cs="Times New Roman"/>
              </w:rPr>
              <w:t>у АТ «Ощадбанк»</w:t>
            </w:r>
          </w:p>
          <w:p w14:paraId="59CC248D" w14:textId="77777777" w:rsidR="00FE1EC6" w:rsidRPr="004B6B12" w:rsidRDefault="00FE1EC6" w:rsidP="00FE1EC6">
            <w:pPr>
              <w:ind w:left="284" w:right="2149"/>
              <w:rPr>
                <w:rFonts w:ascii="Times New Roman" w:hAnsi="Times New Roman" w:cs="Times New Roman"/>
              </w:rPr>
            </w:pPr>
            <w:r w:rsidRPr="004B6B12">
              <w:rPr>
                <w:rFonts w:ascii="Times New Roman" w:hAnsi="Times New Roman" w:cs="Times New Roman"/>
              </w:rPr>
              <w:t xml:space="preserve">Код </w:t>
            </w:r>
            <w:r w:rsidR="004B6B12" w:rsidRPr="004B6B12">
              <w:rPr>
                <w:rFonts w:ascii="Times New Roman" w:hAnsi="Times New Roman" w:cs="Times New Roman"/>
              </w:rPr>
              <w:t>ЄДРПОУ: 39589216</w:t>
            </w:r>
          </w:p>
          <w:p w14:paraId="07A31A01" w14:textId="00E05A04" w:rsidR="000C2D20" w:rsidRPr="00DA362F" w:rsidRDefault="00FE1EC6" w:rsidP="00FE1EC6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4B6B12">
              <w:rPr>
                <w:lang w:val="uk-UA"/>
              </w:rPr>
              <w:t xml:space="preserve">     </w:t>
            </w:r>
            <w:r w:rsidRPr="00DA362F">
              <w:rPr>
                <w:lang w:val="uk-UA"/>
              </w:rPr>
              <w:t xml:space="preserve">ІПН: </w:t>
            </w:r>
            <w:r w:rsidR="004B6B12" w:rsidRPr="00DA362F">
              <w:rPr>
                <w:lang w:val="uk-UA"/>
              </w:rPr>
              <w:t>395892103184</w:t>
            </w:r>
          </w:p>
          <w:p w14:paraId="39EA0EE4" w14:textId="21CA8082" w:rsidR="00FE17D4" w:rsidRPr="00FE1EC6" w:rsidRDefault="00FE17D4" w:rsidP="00FE1EC6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A362F">
              <w:rPr>
                <w:sz w:val="22"/>
                <w:szCs w:val="22"/>
                <w:lang w:val="uk-UA"/>
              </w:rPr>
              <w:t xml:space="preserve">      </w:t>
            </w:r>
            <w:hyperlink r:id="rId10" w:history="1">
              <w:r w:rsidR="00556C9C" w:rsidRPr="006A22FA">
                <w:rPr>
                  <w:rStyle w:val="a5"/>
                  <w:lang w:val="uk-UA"/>
                </w:rPr>
                <w:t>https://</w:t>
              </w:r>
              <w:r w:rsidR="00556C9C" w:rsidRPr="006A22FA">
                <w:rPr>
                  <w:rStyle w:val="a5"/>
                  <w:lang w:val="en-US"/>
                </w:rPr>
                <w:t>vlgaszbut</w:t>
              </w:r>
              <w:r w:rsidR="00556C9C" w:rsidRPr="006A22FA">
                <w:rPr>
                  <w:rStyle w:val="a5"/>
                  <w:lang w:val="uk-UA"/>
                </w:rPr>
                <w:t>.</w:t>
              </w:r>
              <w:r w:rsidR="00556C9C" w:rsidRPr="006A22FA">
                <w:rPr>
                  <w:rStyle w:val="a5"/>
                  <w:lang w:val="en-US"/>
                </w:rPr>
                <w:t>com</w:t>
              </w:r>
              <w:r w:rsidR="00556C9C" w:rsidRPr="006A22FA">
                <w:rPr>
                  <w:rStyle w:val="a5"/>
                  <w:lang w:val="uk-UA"/>
                </w:rPr>
                <w:t>.</w:t>
              </w:r>
              <w:r w:rsidR="00556C9C" w:rsidRPr="006A22FA">
                <w:rPr>
                  <w:rStyle w:val="a5"/>
                  <w:lang w:val="en-US"/>
                </w:rPr>
                <w:t>ua</w:t>
              </w:r>
            </w:hyperlink>
            <w:bookmarkStart w:id="0" w:name="_GoBack"/>
            <w:bookmarkEnd w:id="0"/>
          </w:p>
          <w:p w14:paraId="1729579B" w14:textId="77777777" w:rsidR="00FE1EC6" w:rsidRDefault="00FE1EC6" w:rsidP="000C2D20">
            <w:pPr>
              <w:pStyle w:val="af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14:paraId="2812947A" w14:textId="52F84084" w:rsidR="00FE1EC6" w:rsidRDefault="00FE1EC6" w:rsidP="000C2D20">
            <w:pPr>
              <w:pStyle w:val="af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14:paraId="18CFE039" w14:textId="77777777" w:rsidR="00FE17D4" w:rsidRPr="0090211B" w:rsidRDefault="00FE17D4" w:rsidP="000C2D20">
            <w:pPr>
              <w:pStyle w:val="af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14:paraId="6BD6C484" w14:textId="77777777" w:rsidR="000C2D20" w:rsidRPr="0090211B" w:rsidRDefault="000C2D20" w:rsidP="000C2D20">
            <w:pPr>
              <w:pStyle w:val="af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90211B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293DDEA3" w14:textId="77777777" w:rsidR="000C2D20" w:rsidRPr="0090211B" w:rsidRDefault="000C2D20" w:rsidP="000C2D2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14:paraId="4592CF3B" w14:textId="77777777" w:rsidR="000C2D20" w:rsidRPr="0090211B" w:rsidRDefault="000C2D20" w:rsidP="000C2D2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0211B">
              <w:rPr>
                <w:b/>
                <w:sz w:val="22"/>
                <w:szCs w:val="22"/>
                <w:lang w:val="uk-UA"/>
              </w:rPr>
              <w:t>_______________________</w:t>
            </w:r>
            <w:r w:rsidR="004B50CF">
              <w:rPr>
                <w:b/>
                <w:sz w:val="22"/>
                <w:szCs w:val="22"/>
                <w:lang w:val="uk-UA"/>
              </w:rPr>
              <w:t>________</w:t>
            </w:r>
            <w:r w:rsidRPr="0090211B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2C24F73B" w14:textId="77777777" w:rsidR="003C6E13" w:rsidRPr="00E30DB3" w:rsidRDefault="003C6E13" w:rsidP="00B177C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30DB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М.П.</w:t>
            </w:r>
          </w:p>
        </w:tc>
        <w:tc>
          <w:tcPr>
            <w:tcW w:w="4673" w:type="dxa"/>
          </w:tcPr>
          <w:p w14:paraId="212D6262" w14:textId="77777777" w:rsidR="000C2D20" w:rsidRPr="0090211B" w:rsidRDefault="000C2D20" w:rsidP="00B177C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65241C2C" w14:textId="77777777" w:rsidR="003C6E13" w:rsidRPr="0090211B" w:rsidRDefault="003C6E13" w:rsidP="00B177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</w:p>
          <w:p w14:paraId="3559A445" w14:textId="77777777" w:rsidR="003C6E13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AFFAE34" w14:textId="77777777" w:rsidR="00E30DB3" w:rsidRPr="0090211B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DCAD123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78C61A28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2E666B1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BFE7F60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D694F02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C08BDFE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66D90F1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45E34F6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D2278D0" w14:textId="77777777" w:rsidR="000C2D20" w:rsidRPr="0090211B" w:rsidRDefault="000C2D20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E81AD49" w14:textId="77777777" w:rsidR="00E30DB3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FE1AEAD" w14:textId="77777777" w:rsidR="00E30DB3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66CA348" w14:textId="77777777" w:rsidR="001C126B" w:rsidRDefault="0010064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br/>
            </w:r>
          </w:p>
          <w:p w14:paraId="2C6E048F" w14:textId="77777777" w:rsidR="00FE17D4" w:rsidRDefault="00FE17D4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192A7AE" w14:textId="77777777" w:rsidR="00FE17D4" w:rsidRDefault="00FE17D4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FF6DE90" w14:textId="13B1A84F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90211B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>Директор</w:t>
            </w:r>
          </w:p>
          <w:p w14:paraId="1CC5319A" w14:textId="77777777" w:rsidR="000C2D20" w:rsidRPr="0090211B" w:rsidRDefault="000C2D20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40C9B04" w14:textId="77777777" w:rsidR="003C6E13" w:rsidRPr="0090211B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90211B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 xml:space="preserve">_____________________________ </w:t>
            </w:r>
          </w:p>
          <w:p w14:paraId="02A3B988" w14:textId="77777777" w:rsidR="003C6E13" w:rsidRPr="0090211B" w:rsidRDefault="003C6E13" w:rsidP="00027BEB">
            <w:pPr>
              <w:rPr>
                <w:rFonts w:ascii="Times New Roman" w:hAnsi="Times New Roman" w:cs="Times New Roman"/>
                <w:lang w:val="uk-UA"/>
              </w:rPr>
            </w:pPr>
            <w:r w:rsidRPr="00E30DB3">
              <w:rPr>
                <w:rFonts w:ascii="Times New Roman" w:hAnsi="Times New Roman" w:cs="Times New Roman"/>
                <w:kern w:val="3"/>
                <w:sz w:val="12"/>
                <w:szCs w:val="12"/>
                <w:lang w:val="uk-UA" w:eastAsia="zh-CN"/>
              </w:rPr>
              <w:t>М.П.</w:t>
            </w:r>
          </w:p>
        </w:tc>
      </w:tr>
    </w:tbl>
    <w:p w14:paraId="55A0138E" w14:textId="77777777"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41E7" w14:textId="77777777" w:rsidR="00E4663C" w:rsidRDefault="00E4663C" w:rsidP="00D23729">
      <w:pPr>
        <w:spacing w:after="0" w:line="240" w:lineRule="auto"/>
      </w:pPr>
      <w:r>
        <w:separator/>
      </w:r>
    </w:p>
  </w:endnote>
  <w:endnote w:type="continuationSeparator" w:id="0">
    <w:p w14:paraId="06EDA19D" w14:textId="77777777" w:rsidR="00E4663C" w:rsidRDefault="00E4663C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AFE8" w14:textId="77777777" w:rsidR="00E4663C" w:rsidRDefault="00E4663C" w:rsidP="00D23729">
      <w:pPr>
        <w:spacing w:after="0" w:line="240" w:lineRule="auto"/>
      </w:pPr>
      <w:r>
        <w:separator/>
      </w:r>
    </w:p>
  </w:footnote>
  <w:footnote w:type="continuationSeparator" w:id="0">
    <w:p w14:paraId="44456112" w14:textId="77777777" w:rsidR="00E4663C" w:rsidRDefault="00E4663C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5"/>
    <w:rsid w:val="0000196E"/>
    <w:rsid w:val="0002186E"/>
    <w:rsid w:val="00027BEB"/>
    <w:rsid w:val="0003209B"/>
    <w:rsid w:val="0005505C"/>
    <w:rsid w:val="00070C0F"/>
    <w:rsid w:val="00075D2D"/>
    <w:rsid w:val="00083B85"/>
    <w:rsid w:val="00090ECC"/>
    <w:rsid w:val="00095B00"/>
    <w:rsid w:val="000A1D92"/>
    <w:rsid w:val="000A71A3"/>
    <w:rsid w:val="000C2D20"/>
    <w:rsid w:val="000E1DBE"/>
    <w:rsid w:val="00100643"/>
    <w:rsid w:val="00101951"/>
    <w:rsid w:val="00101C3D"/>
    <w:rsid w:val="001021AE"/>
    <w:rsid w:val="00102B96"/>
    <w:rsid w:val="00105AA1"/>
    <w:rsid w:val="00106A6C"/>
    <w:rsid w:val="00106C2F"/>
    <w:rsid w:val="001118BE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3663"/>
    <w:rsid w:val="001C126B"/>
    <w:rsid w:val="001E45D2"/>
    <w:rsid w:val="001E476C"/>
    <w:rsid w:val="001F0E5E"/>
    <w:rsid w:val="001F6EBF"/>
    <w:rsid w:val="00250C3A"/>
    <w:rsid w:val="00250DA4"/>
    <w:rsid w:val="00253B54"/>
    <w:rsid w:val="00276164"/>
    <w:rsid w:val="00292840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407FF4"/>
    <w:rsid w:val="00410F2C"/>
    <w:rsid w:val="00411521"/>
    <w:rsid w:val="00427F34"/>
    <w:rsid w:val="0044624E"/>
    <w:rsid w:val="00477B7B"/>
    <w:rsid w:val="00495297"/>
    <w:rsid w:val="004B50CF"/>
    <w:rsid w:val="004B6AC9"/>
    <w:rsid w:val="004B6B12"/>
    <w:rsid w:val="004D27C4"/>
    <w:rsid w:val="004E17C6"/>
    <w:rsid w:val="004F102E"/>
    <w:rsid w:val="00502BAB"/>
    <w:rsid w:val="0052538A"/>
    <w:rsid w:val="0053329C"/>
    <w:rsid w:val="0055615C"/>
    <w:rsid w:val="00556C9C"/>
    <w:rsid w:val="00565317"/>
    <w:rsid w:val="00570E45"/>
    <w:rsid w:val="0058024E"/>
    <w:rsid w:val="00593501"/>
    <w:rsid w:val="005A38F8"/>
    <w:rsid w:val="005A4D67"/>
    <w:rsid w:val="005A53ED"/>
    <w:rsid w:val="005C6A7C"/>
    <w:rsid w:val="005E588F"/>
    <w:rsid w:val="005E6CA1"/>
    <w:rsid w:val="005E7160"/>
    <w:rsid w:val="005E7332"/>
    <w:rsid w:val="006003EC"/>
    <w:rsid w:val="00610367"/>
    <w:rsid w:val="006158F3"/>
    <w:rsid w:val="006249B1"/>
    <w:rsid w:val="00632816"/>
    <w:rsid w:val="00655A9F"/>
    <w:rsid w:val="00663BFA"/>
    <w:rsid w:val="00685026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10F75"/>
    <w:rsid w:val="007149DE"/>
    <w:rsid w:val="007152B2"/>
    <w:rsid w:val="00734027"/>
    <w:rsid w:val="007356E8"/>
    <w:rsid w:val="00744E17"/>
    <w:rsid w:val="0079071F"/>
    <w:rsid w:val="007A00B4"/>
    <w:rsid w:val="007A51CC"/>
    <w:rsid w:val="007B1329"/>
    <w:rsid w:val="007D66CB"/>
    <w:rsid w:val="007D710F"/>
    <w:rsid w:val="008103D8"/>
    <w:rsid w:val="00831D3C"/>
    <w:rsid w:val="00833946"/>
    <w:rsid w:val="00844B03"/>
    <w:rsid w:val="00846820"/>
    <w:rsid w:val="008734C4"/>
    <w:rsid w:val="008840C2"/>
    <w:rsid w:val="008B5265"/>
    <w:rsid w:val="008B7B12"/>
    <w:rsid w:val="008D2E20"/>
    <w:rsid w:val="008D4DD4"/>
    <w:rsid w:val="008D569D"/>
    <w:rsid w:val="008E4223"/>
    <w:rsid w:val="008E6A0C"/>
    <w:rsid w:val="008F2FA8"/>
    <w:rsid w:val="009003EB"/>
    <w:rsid w:val="0090211B"/>
    <w:rsid w:val="00913BF5"/>
    <w:rsid w:val="00916815"/>
    <w:rsid w:val="00930F1F"/>
    <w:rsid w:val="00936575"/>
    <w:rsid w:val="00962EAD"/>
    <w:rsid w:val="009661BD"/>
    <w:rsid w:val="0096625E"/>
    <w:rsid w:val="00966FA5"/>
    <w:rsid w:val="0098129E"/>
    <w:rsid w:val="009852AA"/>
    <w:rsid w:val="009B3D22"/>
    <w:rsid w:val="009D02D6"/>
    <w:rsid w:val="009D431A"/>
    <w:rsid w:val="00A13D1F"/>
    <w:rsid w:val="00A2289D"/>
    <w:rsid w:val="00A5794D"/>
    <w:rsid w:val="00A70599"/>
    <w:rsid w:val="00AA1915"/>
    <w:rsid w:val="00AA6FF0"/>
    <w:rsid w:val="00AC1DEB"/>
    <w:rsid w:val="00AD5481"/>
    <w:rsid w:val="00B00169"/>
    <w:rsid w:val="00B13BE4"/>
    <w:rsid w:val="00B15EE1"/>
    <w:rsid w:val="00B20DE3"/>
    <w:rsid w:val="00B54131"/>
    <w:rsid w:val="00B560EF"/>
    <w:rsid w:val="00B565C6"/>
    <w:rsid w:val="00B62538"/>
    <w:rsid w:val="00BA20C1"/>
    <w:rsid w:val="00BA512F"/>
    <w:rsid w:val="00BA7B9D"/>
    <w:rsid w:val="00BC08D2"/>
    <w:rsid w:val="00BD607A"/>
    <w:rsid w:val="00BD69BD"/>
    <w:rsid w:val="00BE03CF"/>
    <w:rsid w:val="00BF12C8"/>
    <w:rsid w:val="00BF2087"/>
    <w:rsid w:val="00C02F97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21B5"/>
    <w:rsid w:val="00CB7895"/>
    <w:rsid w:val="00CF392D"/>
    <w:rsid w:val="00D127B5"/>
    <w:rsid w:val="00D23729"/>
    <w:rsid w:val="00D30251"/>
    <w:rsid w:val="00D314E9"/>
    <w:rsid w:val="00D63206"/>
    <w:rsid w:val="00D64EE9"/>
    <w:rsid w:val="00D84714"/>
    <w:rsid w:val="00D96BFB"/>
    <w:rsid w:val="00DA362F"/>
    <w:rsid w:val="00DA5E4D"/>
    <w:rsid w:val="00DB30D7"/>
    <w:rsid w:val="00DB7665"/>
    <w:rsid w:val="00DF226E"/>
    <w:rsid w:val="00DF5F0F"/>
    <w:rsid w:val="00E048CF"/>
    <w:rsid w:val="00E112BA"/>
    <w:rsid w:val="00E24F03"/>
    <w:rsid w:val="00E30DB3"/>
    <w:rsid w:val="00E316FA"/>
    <w:rsid w:val="00E45A74"/>
    <w:rsid w:val="00E4663C"/>
    <w:rsid w:val="00E46F76"/>
    <w:rsid w:val="00E63034"/>
    <w:rsid w:val="00E87F7B"/>
    <w:rsid w:val="00E95047"/>
    <w:rsid w:val="00EA15E4"/>
    <w:rsid w:val="00EC6B35"/>
    <w:rsid w:val="00EE5582"/>
    <w:rsid w:val="00F000EC"/>
    <w:rsid w:val="00F15A42"/>
    <w:rsid w:val="00F205E7"/>
    <w:rsid w:val="00F27E50"/>
    <w:rsid w:val="00F40A9A"/>
    <w:rsid w:val="00F62B4F"/>
    <w:rsid w:val="00F80537"/>
    <w:rsid w:val="00F83EEC"/>
    <w:rsid w:val="00F84295"/>
    <w:rsid w:val="00FA0AB7"/>
    <w:rsid w:val="00FA1134"/>
    <w:rsid w:val="00FE17D4"/>
    <w:rsid w:val="00FE1EC6"/>
    <w:rsid w:val="00FE4F69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93D3"/>
  <w15:chartTrackingRefBased/>
  <w15:docId w15:val="{D0E79ACA-763A-49C4-95E2-6751B6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gaszbut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lgaszbut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vlgaszbu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D499-A353-4952-84D8-B0046F0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7008</Words>
  <Characters>3995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Юзва Ірина Валеріївна</cp:lastModifiedBy>
  <cp:revision>15</cp:revision>
  <cp:lastPrinted>2022-01-06T09:38:00Z</cp:lastPrinted>
  <dcterms:created xsi:type="dcterms:W3CDTF">2020-07-30T08:08:00Z</dcterms:created>
  <dcterms:modified xsi:type="dcterms:W3CDTF">2022-06-15T07:02:00Z</dcterms:modified>
</cp:coreProperties>
</file>